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4" w:type="dxa"/>
        <w:tblInd w:w="108" w:type="dxa"/>
        <w:tblLayout w:type="fixed"/>
        <w:tblLook w:val="0000"/>
      </w:tblPr>
      <w:tblGrid>
        <w:gridCol w:w="4395"/>
        <w:gridCol w:w="850"/>
        <w:gridCol w:w="4989"/>
      </w:tblGrid>
      <w:tr w:rsidR="00916B71" w:rsidTr="00A74C72">
        <w:trPr>
          <w:cantSplit/>
          <w:trHeight w:hRule="exact" w:val="1021"/>
        </w:trPr>
        <w:tc>
          <w:tcPr>
            <w:tcW w:w="4395" w:type="dxa"/>
          </w:tcPr>
          <w:p w:rsidR="00916B71" w:rsidRDefault="00916B71" w:rsidP="00A74C72">
            <w:pPr>
              <w:jc w:val="center"/>
            </w:pPr>
          </w:p>
        </w:tc>
        <w:tc>
          <w:tcPr>
            <w:tcW w:w="850" w:type="dxa"/>
          </w:tcPr>
          <w:p w:rsidR="00916B71" w:rsidRDefault="00916B71" w:rsidP="00A74C72"/>
        </w:tc>
        <w:tc>
          <w:tcPr>
            <w:tcW w:w="4989" w:type="dxa"/>
          </w:tcPr>
          <w:p w:rsidR="00916B71" w:rsidRPr="00A33340" w:rsidRDefault="00916B71" w:rsidP="00A74C72">
            <w:pPr>
              <w:ind w:firstLine="1418"/>
              <w:rPr>
                <w:sz w:val="24"/>
                <w:szCs w:val="24"/>
              </w:rPr>
            </w:pPr>
          </w:p>
        </w:tc>
      </w:tr>
    </w:tbl>
    <w:p w:rsidR="002E3B48" w:rsidRDefault="000E0BD3" w:rsidP="002E3B48">
      <w:pPr>
        <w:autoSpaceDE w:val="0"/>
        <w:autoSpaceDN w:val="0"/>
        <w:adjustRightInd w:val="0"/>
        <w:jc w:val="center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 </w:t>
      </w:r>
      <w:r w:rsidR="002E3B48">
        <w:rPr>
          <w:rFonts w:eastAsia="Calibri"/>
          <w:b/>
          <w:szCs w:val="26"/>
          <w:lang w:eastAsia="en-US"/>
        </w:rPr>
        <w:t>«</w:t>
      </w:r>
      <w:r w:rsidR="002E3B48" w:rsidRPr="00C1684C">
        <w:rPr>
          <w:rFonts w:eastAsia="Calibri"/>
          <w:b/>
          <w:szCs w:val="26"/>
          <w:lang w:eastAsia="en-US"/>
        </w:rPr>
        <w:t xml:space="preserve">Правильно проведенная процедура банкротства обеспечивает должнику </w:t>
      </w:r>
    </w:p>
    <w:p w:rsidR="002E3B48" w:rsidRPr="00C1684C" w:rsidRDefault="002E3B48" w:rsidP="002E3B48">
      <w:pPr>
        <w:autoSpaceDE w:val="0"/>
        <w:autoSpaceDN w:val="0"/>
        <w:adjustRightInd w:val="0"/>
        <w:jc w:val="center"/>
        <w:rPr>
          <w:rFonts w:eastAsia="Calibri"/>
          <w:b/>
          <w:szCs w:val="26"/>
          <w:lang w:eastAsia="en-US"/>
        </w:rPr>
      </w:pPr>
      <w:r w:rsidRPr="00C1684C">
        <w:rPr>
          <w:rFonts w:eastAsia="Calibri"/>
          <w:b/>
          <w:szCs w:val="26"/>
          <w:lang w:eastAsia="en-US"/>
        </w:rPr>
        <w:t>защиту от кредиторов</w:t>
      </w:r>
    </w:p>
    <w:p w:rsidR="002E3B48" w:rsidRPr="00C1684C" w:rsidRDefault="002E3B48" w:rsidP="002E3B48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C1684C">
        <w:rPr>
          <w:rFonts w:eastAsia="Calibri"/>
          <w:szCs w:val="26"/>
          <w:lang w:eastAsia="en-US"/>
        </w:rPr>
        <w:t xml:space="preserve">Государство предоставляет возможность добросовестным плательщикам (гражданам и юридическим лицам), испытывающим финансовые трудности, попытаться выйти из сложившейся ситуации путем признания их в судебном порядке неплатежеспособными, т.е. прибегнуть к процедуре банкротства. </w:t>
      </w:r>
      <w:r w:rsidRPr="00C1684C">
        <w:rPr>
          <w:rFonts w:eastAsia="Calibri"/>
          <w:szCs w:val="26"/>
        </w:rPr>
        <w:t>Заявление о признании должника банкротом подается в арбитражный суд, если требования к гражданину составляют не менее 500 тыс. руб., а к организации - не менее 300 тыс. руб. и не исполняются в течение трех месяцев.</w:t>
      </w:r>
      <w:r w:rsidRPr="00C1684C">
        <w:rPr>
          <w:szCs w:val="26"/>
        </w:rPr>
        <w:t xml:space="preserve"> Обязанность по обращению в арбитражный суд возлагается на самого должника. </w:t>
      </w:r>
      <w:proofErr w:type="gramStart"/>
      <w:r w:rsidRPr="00C1684C">
        <w:rPr>
          <w:rFonts w:eastAsia="Calibri"/>
          <w:szCs w:val="26"/>
          <w:lang w:eastAsia="en-US"/>
        </w:rPr>
        <w:t xml:space="preserve">МИ ФНС России №15 по Иркутской области </w:t>
      </w:r>
      <w:r w:rsidRPr="00C1684C">
        <w:rPr>
          <w:color w:val="000000"/>
          <w:szCs w:val="26"/>
        </w:rPr>
        <w:t xml:space="preserve">с начала 2017 года и в первом полугодии 2018 года </w:t>
      </w:r>
      <w:r w:rsidRPr="00C1684C">
        <w:rPr>
          <w:rFonts w:eastAsia="Calibri"/>
          <w:szCs w:val="26"/>
          <w:lang w:eastAsia="en-US"/>
        </w:rPr>
        <w:t>вынесено 36 постановлений о привлечении должников - граждан, индивидуальных предпринимателей и руководителей организаций, - к административной ответственности на общую сумму 175 тыс. рублей за неисполнение обязанности по подаче заявления в арбитражный суд</w:t>
      </w:r>
      <w:r w:rsidRPr="00C1684C">
        <w:rPr>
          <w:rFonts w:ascii="Calibri" w:eastAsia="Calibri" w:hAnsi="Calibri"/>
          <w:szCs w:val="26"/>
          <w:lang w:eastAsia="en-US"/>
        </w:rPr>
        <w:t xml:space="preserve"> </w:t>
      </w:r>
      <w:r w:rsidRPr="00C1684C">
        <w:rPr>
          <w:rFonts w:eastAsia="Calibri"/>
          <w:szCs w:val="26"/>
          <w:lang w:eastAsia="en-US"/>
        </w:rPr>
        <w:t>о признании себя банкротом (ст. 14.13 КОАП).</w:t>
      </w:r>
      <w:proofErr w:type="gramEnd"/>
      <w:r w:rsidRPr="00C1684C">
        <w:rPr>
          <w:rFonts w:eastAsia="Calibri"/>
          <w:szCs w:val="26"/>
          <w:lang w:eastAsia="en-US"/>
        </w:rPr>
        <w:t xml:space="preserve"> В одном случае должностное лицо дисквалифицировано за повторное совершение такого правонарушения. В постановлениях о привлечении к административной ответственности фиксируется факт и момент возникновения обязанности по подаче заявления о признании должника банкротом, что в дальнейшем, при наличии оснований, служит доказательством для привлечения руководителей юридических лиц к субсидиарной ответственности по долгам должников на основании статьи 61.12 Закона о банкротстве.</w:t>
      </w:r>
      <w:r w:rsidRPr="00C1684C">
        <w:rPr>
          <w:szCs w:val="26"/>
        </w:rPr>
        <w:t xml:space="preserve"> </w:t>
      </w:r>
    </w:p>
    <w:p w:rsidR="002E3B48" w:rsidRPr="00C1684C" w:rsidRDefault="002E3B48" w:rsidP="002E3B48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C1684C">
        <w:rPr>
          <w:szCs w:val="26"/>
        </w:rPr>
        <w:t>При неисполнении обязанности самим должником, обратиться</w:t>
      </w:r>
      <w:r w:rsidRPr="00C1684C">
        <w:rPr>
          <w:rFonts w:eastAsia="Calibri"/>
          <w:szCs w:val="26"/>
          <w:lang w:eastAsia="en-US"/>
        </w:rPr>
        <w:t xml:space="preserve"> с заявлением в арбитражный суд</w:t>
      </w:r>
      <w:r w:rsidRPr="00C1684C">
        <w:rPr>
          <w:szCs w:val="26"/>
        </w:rPr>
        <w:t xml:space="preserve"> </w:t>
      </w:r>
      <w:r w:rsidRPr="00C1684C">
        <w:rPr>
          <w:rFonts w:eastAsia="Calibri"/>
          <w:szCs w:val="26"/>
          <w:lang w:eastAsia="en-US"/>
        </w:rPr>
        <w:t xml:space="preserve">в силу своих полномочий имеет право </w:t>
      </w:r>
      <w:r w:rsidRPr="00C1684C">
        <w:rPr>
          <w:szCs w:val="26"/>
        </w:rPr>
        <w:t>уполномоченный орган - Федеральная налоговая служба.</w:t>
      </w:r>
      <w:r w:rsidRPr="00C1684C">
        <w:rPr>
          <w:rFonts w:eastAsia="Calibri"/>
          <w:szCs w:val="26"/>
          <w:lang w:eastAsia="en-US"/>
        </w:rPr>
        <w:t xml:space="preserve"> Но тогда ответственность за </w:t>
      </w:r>
      <w:proofErr w:type="spellStart"/>
      <w:r w:rsidRPr="00C1684C">
        <w:rPr>
          <w:rFonts w:eastAsia="Calibri"/>
          <w:szCs w:val="26"/>
          <w:lang w:eastAsia="en-US"/>
        </w:rPr>
        <w:t>необращение</w:t>
      </w:r>
      <w:proofErr w:type="spellEnd"/>
      <w:r w:rsidRPr="00C1684C">
        <w:rPr>
          <w:rFonts w:eastAsia="Calibri"/>
          <w:szCs w:val="26"/>
          <w:lang w:eastAsia="en-US"/>
        </w:rPr>
        <w:t xml:space="preserve"> в суд с заявлением о банкротстве несет сам должник. Убытки, понесенные уполномоченным органом, как заявителем по делу о банкротстве,   взыскиваются с лиц, нарушивших обязанность по подаче такого заявления.  В связи с этим вынесено два судебных акта о взыскании убытков с руководителей юридических лиц, состоящих на учете в МИ ФНС России №15 по Иркутской области, в пользу ФНС России на сумму 458 тыс. рублей. Только за первое полугодие 2018 года по процедурам, применяемым в деле о банкротстве, поступило в бюджет более 21 </w:t>
      </w:r>
      <w:proofErr w:type="spellStart"/>
      <w:proofErr w:type="gramStart"/>
      <w:r w:rsidRPr="00C1684C">
        <w:rPr>
          <w:rFonts w:eastAsia="Calibri"/>
          <w:szCs w:val="26"/>
          <w:lang w:eastAsia="en-US"/>
        </w:rPr>
        <w:t>млн</w:t>
      </w:r>
      <w:proofErr w:type="spellEnd"/>
      <w:proofErr w:type="gramEnd"/>
      <w:r w:rsidRPr="00C1684C">
        <w:rPr>
          <w:color w:val="000000"/>
          <w:szCs w:val="26"/>
        </w:rPr>
        <w:t xml:space="preserve"> рублей, что превышает показатель за аналогичный период прошлого года более чем в 2,5 раза. </w:t>
      </w:r>
    </w:p>
    <w:p w:rsidR="002E3B48" w:rsidRPr="00C1684C" w:rsidRDefault="002E3B48" w:rsidP="002E3B48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C1684C">
        <w:rPr>
          <w:rFonts w:eastAsia="Calibri"/>
          <w:szCs w:val="26"/>
        </w:rPr>
        <w:t xml:space="preserve">Причины возникновения банкротства разнообразные, в большинстве случаев – это задолженность перед кредитными организациями по потребительским кредитам, кредитным картам и договорам поручительства по обязательствам юридических лиц. Основанием возникновения задолженности также является задолженность по налогам. </w:t>
      </w:r>
      <w:r w:rsidRPr="00C1684C">
        <w:rPr>
          <w:rFonts w:eastAsia="Calibri"/>
          <w:szCs w:val="26"/>
          <w:lang w:eastAsia="en-US"/>
        </w:rPr>
        <w:t>Процедура банкротства обеспечивает должнику защиту от кредиторов, требования которых он не в состоянии удовлетворить и защищает интересы каждого кредитора от неправомерных действий должника и других кредиторов, обеспечив сохранность имущества и справедливое его распределение между кредиторами. При этом следует иметь в виду, что данные положения не распространяются на тех, кто намеренно уклоняется от погашения задолженности</w:t>
      </w:r>
    </w:p>
    <w:p w:rsidR="002E3B48" w:rsidRPr="00C1684C" w:rsidRDefault="002E3B48" w:rsidP="002E3B48">
      <w:pPr>
        <w:ind w:firstLine="709"/>
        <w:jc w:val="both"/>
        <w:rPr>
          <w:rFonts w:eastAsia="Calibri"/>
          <w:szCs w:val="26"/>
          <w:lang w:eastAsia="en-US"/>
        </w:rPr>
      </w:pPr>
      <w:r w:rsidRPr="00C1684C">
        <w:rPr>
          <w:rFonts w:eastAsia="Calibri"/>
          <w:szCs w:val="26"/>
          <w:lang w:eastAsia="en-US"/>
        </w:rPr>
        <w:t xml:space="preserve">Более подробную информацию можно получить на сайте ФНС России </w:t>
      </w:r>
      <w:hyperlink r:id="rId8" w:history="1">
        <w:r w:rsidRPr="00C1684C">
          <w:rPr>
            <w:rFonts w:eastAsia="Calibri"/>
            <w:color w:val="0000FF"/>
            <w:szCs w:val="26"/>
            <w:u w:val="single"/>
            <w:lang w:eastAsia="en-US"/>
          </w:rPr>
          <w:t>www.nalog.ru</w:t>
        </w:r>
      </w:hyperlink>
      <w:r w:rsidRPr="00C1684C">
        <w:rPr>
          <w:rFonts w:eastAsia="Calibri"/>
          <w:szCs w:val="26"/>
          <w:lang w:eastAsia="en-US"/>
        </w:rPr>
        <w:t xml:space="preserve"> в разделе «Банкротство».</w:t>
      </w:r>
    </w:p>
    <w:p w:rsidR="002E3B48" w:rsidRDefault="002E3B48" w:rsidP="002E3B48">
      <w:pPr>
        <w:tabs>
          <w:tab w:val="left" w:pos="-670"/>
        </w:tabs>
        <w:jc w:val="both"/>
        <w:rPr>
          <w:b/>
          <w:szCs w:val="26"/>
        </w:rPr>
      </w:pPr>
    </w:p>
    <w:p w:rsidR="002E3B48" w:rsidRPr="008B74F8" w:rsidRDefault="002E3B48" w:rsidP="002E3B48">
      <w:pPr>
        <w:tabs>
          <w:tab w:val="left" w:pos="-670"/>
        </w:tabs>
        <w:jc w:val="both"/>
        <w:rPr>
          <w:b/>
          <w:szCs w:val="26"/>
        </w:rPr>
      </w:pPr>
      <w:r w:rsidRPr="008B74F8">
        <w:rPr>
          <w:b/>
          <w:szCs w:val="26"/>
        </w:rPr>
        <w:t>Благодарим за сотрудничество!</w:t>
      </w:r>
    </w:p>
    <w:p w:rsidR="002E3B48" w:rsidRPr="008B74F8" w:rsidRDefault="002E3B48" w:rsidP="002E3B48">
      <w:pPr>
        <w:tabs>
          <w:tab w:val="left" w:pos="-670"/>
        </w:tabs>
        <w:jc w:val="both"/>
        <w:rPr>
          <w:szCs w:val="26"/>
        </w:rPr>
      </w:pPr>
    </w:p>
    <w:p w:rsidR="002E3B48" w:rsidRPr="008B74F8" w:rsidRDefault="002E3B48" w:rsidP="002E3B48">
      <w:pPr>
        <w:tabs>
          <w:tab w:val="left" w:pos="-670"/>
        </w:tabs>
        <w:jc w:val="both"/>
        <w:rPr>
          <w:szCs w:val="26"/>
        </w:rPr>
      </w:pPr>
    </w:p>
    <w:p w:rsidR="002E3B48" w:rsidRPr="008B74F8" w:rsidRDefault="002E3B48" w:rsidP="002E3B48">
      <w:pPr>
        <w:tabs>
          <w:tab w:val="left" w:pos="-670"/>
        </w:tabs>
        <w:jc w:val="both"/>
        <w:rPr>
          <w:szCs w:val="26"/>
        </w:rPr>
      </w:pPr>
    </w:p>
    <w:p w:rsidR="002E3B48" w:rsidRPr="008B74F8" w:rsidRDefault="002E3B48" w:rsidP="002E3B48">
      <w:pPr>
        <w:tabs>
          <w:tab w:val="left" w:pos="-670"/>
        </w:tabs>
        <w:jc w:val="both"/>
        <w:rPr>
          <w:szCs w:val="26"/>
        </w:rPr>
      </w:pPr>
      <w:r w:rsidRPr="008B74F8">
        <w:rPr>
          <w:szCs w:val="26"/>
        </w:rPr>
        <w:t xml:space="preserve">Начальник, </w:t>
      </w:r>
    </w:p>
    <w:p w:rsidR="002E3B48" w:rsidRPr="008B74F8" w:rsidRDefault="002E3B48" w:rsidP="002E3B48">
      <w:pPr>
        <w:tabs>
          <w:tab w:val="left" w:pos="-670"/>
        </w:tabs>
        <w:jc w:val="both"/>
        <w:rPr>
          <w:szCs w:val="26"/>
        </w:rPr>
      </w:pPr>
      <w:r w:rsidRPr="008B74F8">
        <w:rPr>
          <w:szCs w:val="26"/>
        </w:rPr>
        <w:t>Советник государственной гражданской службы</w:t>
      </w:r>
    </w:p>
    <w:p w:rsidR="002E3B48" w:rsidRPr="008B74F8" w:rsidRDefault="002E3B48" w:rsidP="002E3B48">
      <w:pPr>
        <w:tabs>
          <w:tab w:val="left" w:pos="-670"/>
        </w:tabs>
        <w:jc w:val="both"/>
        <w:rPr>
          <w:szCs w:val="26"/>
        </w:rPr>
      </w:pPr>
      <w:r w:rsidRPr="008B74F8">
        <w:rPr>
          <w:szCs w:val="26"/>
        </w:rPr>
        <w:t>Российской Фе</w:t>
      </w:r>
      <w:r>
        <w:rPr>
          <w:szCs w:val="26"/>
        </w:rPr>
        <w:t>дерации 1 класса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</w:t>
      </w:r>
      <w:r>
        <w:rPr>
          <w:szCs w:val="26"/>
        </w:rPr>
        <w:tab/>
        <w:t xml:space="preserve">    </w:t>
      </w:r>
      <w:r>
        <w:rPr>
          <w:szCs w:val="26"/>
        </w:rPr>
        <w:tab/>
        <w:t xml:space="preserve"> </w:t>
      </w:r>
      <w:r w:rsidRPr="008B74F8">
        <w:rPr>
          <w:szCs w:val="26"/>
        </w:rPr>
        <w:t xml:space="preserve"> С.А. </w:t>
      </w:r>
      <w:proofErr w:type="spellStart"/>
      <w:r w:rsidRPr="008B74F8">
        <w:rPr>
          <w:szCs w:val="26"/>
        </w:rPr>
        <w:t>Амирова</w:t>
      </w:r>
      <w:proofErr w:type="spellEnd"/>
    </w:p>
    <w:p w:rsidR="002E3B48" w:rsidRDefault="002E3B48" w:rsidP="002E3B48">
      <w:pPr>
        <w:tabs>
          <w:tab w:val="left" w:pos="-670"/>
        </w:tabs>
        <w:jc w:val="both"/>
        <w:rPr>
          <w:szCs w:val="26"/>
        </w:rPr>
      </w:pPr>
    </w:p>
    <w:p w:rsidR="002E3B48" w:rsidRDefault="002E3B48" w:rsidP="002E3B48">
      <w:pPr>
        <w:tabs>
          <w:tab w:val="left" w:pos="-670"/>
        </w:tabs>
        <w:jc w:val="both"/>
        <w:rPr>
          <w:szCs w:val="26"/>
        </w:rPr>
      </w:pPr>
    </w:p>
    <w:p w:rsidR="002E3B48" w:rsidRDefault="002E3B48" w:rsidP="002E3B48">
      <w:pPr>
        <w:tabs>
          <w:tab w:val="left" w:pos="-670"/>
        </w:tabs>
        <w:jc w:val="both"/>
        <w:rPr>
          <w:szCs w:val="26"/>
        </w:rPr>
      </w:pPr>
    </w:p>
    <w:p w:rsidR="002E3B48" w:rsidRPr="002E3B48" w:rsidRDefault="002E3B48" w:rsidP="002E3B48">
      <w:pPr>
        <w:tabs>
          <w:tab w:val="left" w:pos="-670"/>
        </w:tabs>
        <w:jc w:val="both"/>
        <w:rPr>
          <w:szCs w:val="26"/>
        </w:rPr>
      </w:pPr>
    </w:p>
    <w:p w:rsidR="002E3B48" w:rsidRPr="002E3B48" w:rsidRDefault="002E3B48" w:rsidP="002E3B48">
      <w:pPr>
        <w:tabs>
          <w:tab w:val="left" w:pos="-670"/>
        </w:tabs>
        <w:jc w:val="both"/>
        <w:rPr>
          <w:szCs w:val="26"/>
        </w:rPr>
      </w:pPr>
    </w:p>
    <w:p w:rsidR="00E47CB2" w:rsidRPr="003E0265" w:rsidRDefault="00E47CB2" w:rsidP="002E3B48">
      <w:pPr>
        <w:rPr>
          <w:sz w:val="20"/>
        </w:rPr>
      </w:pPr>
    </w:p>
    <w:sectPr w:rsidR="00E47CB2" w:rsidRPr="003E0265" w:rsidSect="007D4BE7"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FE" w:rsidRDefault="00CE1AFE">
      <w:r>
        <w:separator/>
      </w:r>
    </w:p>
  </w:endnote>
  <w:endnote w:type="continuationSeparator" w:id="0">
    <w:p w:rsidR="00CE1AFE" w:rsidRDefault="00CE1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FE" w:rsidRDefault="00CE1AFE">
      <w:r>
        <w:separator/>
      </w:r>
    </w:p>
  </w:footnote>
  <w:footnote w:type="continuationSeparator" w:id="0">
    <w:p w:rsidR="00CE1AFE" w:rsidRDefault="00CE1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14" w:rsidRDefault="00B50182">
    <w:pPr>
      <w:pStyle w:val="a3"/>
      <w:jc w:val="center"/>
    </w:pPr>
    <w:fldSimple w:instr="PAGE   \* MERGEFORMAT">
      <w:r w:rsidR="000E0BD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615"/>
    <w:multiLevelType w:val="hybridMultilevel"/>
    <w:tmpl w:val="FC2847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A440375"/>
    <w:multiLevelType w:val="hybridMultilevel"/>
    <w:tmpl w:val="6136AC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0622A4"/>
    <w:multiLevelType w:val="hybridMultilevel"/>
    <w:tmpl w:val="CC128D8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3787"/>
    <w:rsid w:val="00005C07"/>
    <w:rsid w:val="00005DCD"/>
    <w:rsid w:val="000312B7"/>
    <w:rsid w:val="00031A84"/>
    <w:rsid w:val="0003240F"/>
    <w:rsid w:val="00033FC9"/>
    <w:rsid w:val="000428D7"/>
    <w:rsid w:val="000446BC"/>
    <w:rsid w:val="000541A2"/>
    <w:rsid w:val="00057B36"/>
    <w:rsid w:val="0006208C"/>
    <w:rsid w:val="000801E7"/>
    <w:rsid w:val="00082044"/>
    <w:rsid w:val="000857F1"/>
    <w:rsid w:val="000863C6"/>
    <w:rsid w:val="000A25C4"/>
    <w:rsid w:val="000A6C56"/>
    <w:rsid w:val="000C1058"/>
    <w:rsid w:val="000C2D87"/>
    <w:rsid w:val="000D03B2"/>
    <w:rsid w:val="000E0BD3"/>
    <w:rsid w:val="000E3AA8"/>
    <w:rsid w:val="000E3BD4"/>
    <w:rsid w:val="000F6477"/>
    <w:rsid w:val="001323DB"/>
    <w:rsid w:val="001405EE"/>
    <w:rsid w:val="0014131D"/>
    <w:rsid w:val="001608B9"/>
    <w:rsid w:val="00162276"/>
    <w:rsid w:val="0017339A"/>
    <w:rsid w:val="00190D70"/>
    <w:rsid w:val="001945C5"/>
    <w:rsid w:val="001C0E94"/>
    <w:rsid w:val="001E6B61"/>
    <w:rsid w:val="00203DC5"/>
    <w:rsid w:val="00204EB5"/>
    <w:rsid w:val="00222B1E"/>
    <w:rsid w:val="00227490"/>
    <w:rsid w:val="00242A5E"/>
    <w:rsid w:val="00250D80"/>
    <w:rsid w:val="00251D0C"/>
    <w:rsid w:val="002570E0"/>
    <w:rsid w:val="0026735A"/>
    <w:rsid w:val="00272E26"/>
    <w:rsid w:val="00273066"/>
    <w:rsid w:val="002869C2"/>
    <w:rsid w:val="002909B5"/>
    <w:rsid w:val="0029601B"/>
    <w:rsid w:val="00296980"/>
    <w:rsid w:val="002B0E07"/>
    <w:rsid w:val="002B446F"/>
    <w:rsid w:val="002B5CAF"/>
    <w:rsid w:val="002B7A56"/>
    <w:rsid w:val="002C44BC"/>
    <w:rsid w:val="002C7099"/>
    <w:rsid w:val="002D4FBF"/>
    <w:rsid w:val="002D59A1"/>
    <w:rsid w:val="002E20CE"/>
    <w:rsid w:val="002E3B48"/>
    <w:rsid w:val="00316606"/>
    <w:rsid w:val="003227A7"/>
    <w:rsid w:val="00327F57"/>
    <w:rsid w:val="003345C7"/>
    <w:rsid w:val="003353AC"/>
    <w:rsid w:val="0033719B"/>
    <w:rsid w:val="00362EBE"/>
    <w:rsid w:val="00366A78"/>
    <w:rsid w:val="00371258"/>
    <w:rsid w:val="00372F3C"/>
    <w:rsid w:val="003735FA"/>
    <w:rsid w:val="00375E19"/>
    <w:rsid w:val="00380FE8"/>
    <w:rsid w:val="00392596"/>
    <w:rsid w:val="00397E70"/>
    <w:rsid w:val="003A7950"/>
    <w:rsid w:val="003A7C2D"/>
    <w:rsid w:val="003B2392"/>
    <w:rsid w:val="003C7D67"/>
    <w:rsid w:val="003D4F52"/>
    <w:rsid w:val="003E0265"/>
    <w:rsid w:val="003E21B0"/>
    <w:rsid w:val="003E63D5"/>
    <w:rsid w:val="003F65E9"/>
    <w:rsid w:val="00401797"/>
    <w:rsid w:val="00437BE2"/>
    <w:rsid w:val="00441BEC"/>
    <w:rsid w:val="00462FB5"/>
    <w:rsid w:val="0047797C"/>
    <w:rsid w:val="00480519"/>
    <w:rsid w:val="004874C3"/>
    <w:rsid w:val="004912A8"/>
    <w:rsid w:val="004A4BF2"/>
    <w:rsid w:val="004B063B"/>
    <w:rsid w:val="004B76AA"/>
    <w:rsid w:val="004C6DA2"/>
    <w:rsid w:val="004E1A5B"/>
    <w:rsid w:val="004E6592"/>
    <w:rsid w:val="00500ED3"/>
    <w:rsid w:val="00503DCE"/>
    <w:rsid w:val="00522255"/>
    <w:rsid w:val="005378EF"/>
    <w:rsid w:val="00545433"/>
    <w:rsid w:val="00552F0B"/>
    <w:rsid w:val="0055782D"/>
    <w:rsid w:val="00561204"/>
    <w:rsid w:val="005639D0"/>
    <w:rsid w:val="0059396A"/>
    <w:rsid w:val="005A11AF"/>
    <w:rsid w:val="005A4D58"/>
    <w:rsid w:val="005A71FF"/>
    <w:rsid w:val="005B4389"/>
    <w:rsid w:val="005B7F29"/>
    <w:rsid w:val="005C2248"/>
    <w:rsid w:val="005C2487"/>
    <w:rsid w:val="005C4EB3"/>
    <w:rsid w:val="005E77D7"/>
    <w:rsid w:val="005F5E13"/>
    <w:rsid w:val="00616629"/>
    <w:rsid w:val="00617377"/>
    <w:rsid w:val="00617E1B"/>
    <w:rsid w:val="00630671"/>
    <w:rsid w:val="00635F10"/>
    <w:rsid w:val="0065077E"/>
    <w:rsid w:val="00665F1D"/>
    <w:rsid w:val="00680C2B"/>
    <w:rsid w:val="00681E5B"/>
    <w:rsid w:val="006964B6"/>
    <w:rsid w:val="00697100"/>
    <w:rsid w:val="006A0FCB"/>
    <w:rsid w:val="006A2D5B"/>
    <w:rsid w:val="006B3C0B"/>
    <w:rsid w:val="006B5477"/>
    <w:rsid w:val="006B601F"/>
    <w:rsid w:val="006C080F"/>
    <w:rsid w:val="006E1792"/>
    <w:rsid w:val="006E748B"/>
    <w:rsid w:val="007030B2"/>
    <w:rsid w:val="00722CAB"/>
    <w:rsid w:val="00727F21"/>
    <w:rsid w:val="0074016B"/>
    <w:rsid w:val="007513ED"/>
    <w:rsid w:val="0075648D"/>
    <w:rsid w:val="0075750F"/>
    <w:rsid w:val="007A0FDF"/>
    <w:rsid w:val="007A138F"/>
    <w:rsid w:val="007A18FA"/>
    <w:rsid w:val="007D4BE7"/>
    <w:rsid w:val="007D6820"/>
    <w:rsid w:val="007F2968"/>
    <w:rsid w:val="007F523C"/>
    <w:rsid w:val="00805F77"/>
    <w:rsid w:val="008067DF"/>
    <w:rsid w:val="00823807"/>
    <w:rsid w:val="008326C7"/>
    <w:rsid w:val="00841DD2"/>
    <w:rsid w:val="0084228A"/>
    <w:rsid w:val="00842815"/>
    <w:rsid w:val="00852C8C"/>
    <w:rsid w:val="0087044B"/>
    <w:rsid w:val="008754A2"/>
    <w:rsid w:val="00890455"/>
    <w:rsid w:val="008909B3"/>
    <w:rsid w:val="008B5E13"/>
    <w:rsid w:val="008D5B04"/>
    <w:rsid w:val="008E1094"/>
    <w:rsid w:val="008E11C2"/>
    <w:rsid w:val="008E4B5C"/>
    <w:rsid w:val="008F3BE2"/>
    <w:rsid w:val="008F6756"/>
    <w:rsid w:val="008F6DD6"/>
    <w:rsid w:val="00901ECF"/>
    <w:rsid w:val="0090648D"/>
    <w:rsid w:val="00907360"/>
    <w:rsid w:val="00916B71"/>
    <w:rsid w:val="0092057A"/>
    <w:rsid w:val="00922943"/>
    <w:rsid w:val="00924BF2"/>
    <w:rsid w:val="0093598C"/>
    <w:rsid w:val="009419DF"/>
    <w:rsid w:val="009628C4"/>
    <w:rsid w:val="00963552"/>
    <w:rsid w:val="00964B9A"/>
    <w:rsid w:val="00971814"/>
    <w:rsid w:val="00977269"/>
    <w:rsid w:val="0098537D"/>
    <w:rsid w:val="009858F3"/>
    <w:rsid w:val="0098601C"/>
    <w:rsid w:val="00986BCD"/>
    <w:rsid w:val="009A2C29"/>
    <w:rsid w:val="009A3211"/>
    <w:rsid w:val="009A5A00"/>
    <w:rsid w:val="009B0041"/>
    <w:rsid w:val="009B72AC"/>
    <w:rsid w:val="009D6ECE"/>
    <w:rsid w:val="009E58BC"/>
    <w:rsid w:val="009E6160"/>
    <w:rsid w:val="009F3975"/>
    <w:rsid w:val="00A27FE7"/>
    <w:rsid w:val="00A33340"/>
    <w:rsid w:val="00A36E06"/>
    <w:rsid w:val="00A44B4C"/>
    <w:rsid w:val="00A542BA"/>
    <w:rsid w:val="00A70D96"/>
    <w:rsid w:val="00A74C72"/>
    <w:rsid w:val="00A76DC9"/>
    <w:rsid w:val="00A81003"/>
    <w:rsid w:val="00A938D8"/>
    <w:rsid w:val="00AB2D62"/>
    <w:rsid w:val="00AD20DD"/>
    <w:rsid w:val="00AD3D63"/>
    <w:rsid w:val="00AE3E06"/>
    <w:rsid w:val="00AE4115"/>
    <w:rsid w:val="00AE549F"/>
    <w:rsid w:val="00AF7A7A"/>
    <w:rsid w:val="00B0216B"/>
    <w:rsid w:val="00B075C2"/>
    <w:rsid w:val="00B118C6"/>
    <w:rsid w:val="00B16056"/>
    <w:rsid w:val="00B26646"/>
    <w:rsid w:val="00B50182"/>
    <w:rsid w:val="00B53B3C"/>
    <w:rsid w:val="00B54F8E"/>
    <w:rsid w:val="00B61552"/>
    <w:rsid w:val="00B660F0"/>
    <w:rsid w:val="00B77E2E"/>
    <w:rsid w:val="00B81FA0"/>
    <w:rsid w:val="00B85C87"/>
    <w:rsid w:val="00B906D6"/>
    <w:rsid w:val="00B93C62"/>
    <w:rsid w:val="00BA04E1"/>
    <w:rsid w:val="00BB35F6"/>
    <w:rsid w:val="00BC27E8"/>
    <w:rsid w:val="00BD136B"/>
    <w:rsid w:val="00BE3697"/>
    <w:rsid w:val="00BE7E84"/>
    <w:rsid w:val="00BF7687"/>
    <w:rsid w:val="00C158FF"/>
    <w:rsid w:val="00C16FEF"/>
    <w:rsid w:val="00C1757F"/>
    <w:rsid w:val="00C26994"/>
    <w:rsid w:val="00C45DD1"/>
    <w:rsid w:val="00C60699"/>
    <w:rsid w:val="00C72F23"/>
    <w:rsid w:val="00CA662F"/>
    <w:rsid w:val="00CB2858"/>
    <w:rsid w:val="00CB379D"/>
    <w:rsid w:val="00CC23AF"/>
    <w:rsid w:val="00CD2023"/>
    <w:rsid w:val="00CE1AFE"/>
    <w:rsid w:val="00CE3738"/>
    <w:rsid w:val="00CE55A6"/>
    <w:rsid w:val="00D006D6"/>
    <w:rsid w:val="00D126F6"/>
    <w:rsid w:val="00D46C82"/>
    <w:rsid w:val="00D47709"/>
    <w:rsid w:val="00D558EA"/>
    <w:rsid w:val="00D72326"/>
    <w:rsid w:val="00DA27C7"/>
    <w:rsid w:val="00DB1D2E"/>
    <w:rsid w:val="00DB6360"/>
    <w:rsid w:val="00DC2A6F"/>
    <w:rsid w:val="00DE0F2A"/>
    <w:rsid w:val="00E14E6E"/>
    <w:rsid w:val="00E21FE6"/>
    <w:rsid w:val="00E259D1"/>
    <w:rsid w:val="00E26E35"/>
    <w:rsid w:val="00E312DB"/>
    <w:rsid w:val="00E42CE6"/>
    <w:rsid w:val="00E46EA2"/>
    <w:rsid w:val="00E47CB2"/>
    <w:rsid w:val="00E5310A"/>
    <w:rsid w:val="00E54F11"/>
    <w:rsid w:val="00E60573"/>
    <w:rsid w:val="00E86ED7"/>
    <w:rsid w:val="00E96CDF"/>
    <w:rsid w:val="00EA0404"/>
    <w:rsid w:val="00EA561F"/>
    <w:rsid w:val="00EB1492"/>
    <w:rsid w:val="00EC11D7"/>
    <w:rsid w:val="00ED0ED8"/>
    <w:rsid w:val="00EE46F8"/>
    <w:rsid w:val="00F1414B"/>
    <w:rsid w:val="00F26278"/>
    <w:rsid w:val="00F36552"/>
    <w:rsid w:val="00F57E2F"/>
    <w:rsid w:val="00F63D39"/>
    <w:rsid w:val="00F8755B"/>
    <w:rsid w:val="00F952CE"/>
    <w:rsid w:val="00FD4668"/>
    <w:rsid w:val="00FE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182"/>
    <w:rPr>
      <w:snapToGrid w:val="0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2C70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182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B50182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0182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B50182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rsid w:val="00B50182"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  <w:rsid w:val="00B50182"/>
  </w:style>
  <w:style w:type="paragraph" w:styleId="a7">
    <w:name w:val="footnote text"/>
    <w:basedOn w:val="a"/>
    <w:semiHidden/>
    <w:rsid w:val="00B50182"/>
    <w:rPr>
      <w:sz w:val="20"/>
    </w:rPr>
  </w:style>
  <w:style w:type="character" w:styleId="a8">
    <w:name w:val="footnote reference"/>
    <w:semiHidden/>
    <w:rsid w:val="00B50182"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ab">
    <w:name w:val="Знак"/>
    <w:basedOn w:val="a"/>
    <w:autoRedefine/>
    <w:rsid w:val="00B93C62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8">
    <w:name w:val="Обычный + 8 пт"/>
    <w:basedOn w:val="a"/>
    <w:rsid w:val="00B93C62"/>
    <w:pPr>
      <w:ind w:right="8"/>
      <w:jc w:val="center"/>
    </w:pPr>
    <w:rPr>
      <w:color w:val="000000"/>
      <w:sz w:val="16"/>
      <w:szCs w:val="16"/>
    </w:rPr>
  </w:style>
  <w:style w:type="paragraph" w:styleId="ac">
    <w:name w:val="Title"/>
    <w:basedOn w:val="a"/>
    <w:link w:val="ad"/>
    <w:qFormat/>
    <w:rsid w:val="009858F3"/>
    <w:pPr>
      <w:tabs>
        <w:tab w:val="left" w:pos="4820"/>
      </w:tabs>
      <w:autoSpaceDE w:val="0"/>
      <w:autoSpaceDN w:val="0"/>
      <w:jc w:val="center"/>
    </w:pPr>
    <w:rPr>
      <w:b/>
      <w:bCs/>
      <w:snapToGrid/>
      <w:sz w:val="24"/>
      <w:szCs w:val="24"/>
    </w:rPr>
  </w:style>
  <w:style w:type="character" w:customStyle="1" w:styleId="ad">
    <w:name w:val="Название Знак"/>
    <w:link w:val="ac"/>
    <w:rsid w:val="009858F3"/>
    <w:rPr>
      <w:b/>
      <w:bCs/>
      <w:sz w:val="24"/>
      <w:szCs w:val="24"/>
    </w:rPr>
  </w:style>
  <w:style w:type="paragraph" w:customStyle="1" w:styleId="21">
    <w:name w:val="Основной текст 21"/>
    <w:basedOn w:val="a"/>
    <w:rsid w:val="009858F3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napToGrid/>
      <w:sz w:val="24"/>
    </w:rPr>
  </w:style>
  <w:style w:type="character" w:customStyle="1" w:styleId="a4">
    <w:name w:val="Верхний колонтитул Знак"/>
    <w:link w:val="a3"/>
    <w:uiPriority w:val="99"/>
    <w:rsid w:val="00480519"/>
    <w:rPr>
      <w:sz w:val="28"/>
      <w:szCs w:val="24"/>
    </w:rPr>
  </w:style>
  <w:style w:type="paragraph" w:customStyle="1" w:styleId="ae">
    <w:name w:val="Знак Знак Знак Знак"/>
    <w:basedOn w:val="a"/>
    <w:rsid w:val="00005C07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20">
    <w:name w:val="Заголовок 2 Знак"/>
    <w:link w:val="2"/>
    <w:semiHidden/>
    <w:rsid w:val="002C7099"/>
    <w:rPr>
      <w:rFonts w:ascii="Cambria" w:eastAsia="Times New Roman" w:hAnsi="Cambria" w:cs="Times New Roman"/>
      <w:b/>
      <w:bCs/>
      <w:i/>
      <w:iCs/>
      <w:snapToGrid/>
      <w:sz w:val="28"/>
      <w:szCs w:val="28"/>
    </w:rPr>
  </w:style>
  <w:style w:type="paragraph" w:styleId="af">
    <w:name w:val="Body Text"/>
    <w:basedOn w:val="a"/>
    <w:link w:val="af0"/>
    <w:rsid w:val="002C7099"/>
    <w:pPr>
      <w:spacing w:after="120"/>
    </w:pPr>
  </w:style>
  <w:style w:type="character" w:customStyle="1" w:styleId="af0">
    <w:name w:val="Основной текст Знак"/>
    <w:link w:val="af"/>
    <w:rsid w:val="002C7099"/>
    <w:rPr>
      <w:snapToGrid/>
      <w:sz w:val="26"/>
    </w:rPr>
  </w:style>
  <w:style w:type="paragraph" w:styleId="af1">
    <w:name w:val="footer"/>
    <w:basedOn w:val="a"/>
    <w:link w:val="af2"/>
    <w:rsid w:val="009718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71814"/>
    <w:rPr>
      <w:snapToGrid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74FD-B04D-4807-B1F1-FAE76B5C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3381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</cp:lastModifiedBy>
  <cp:revision>3</cp:revision>
  <cp:lastPrinted>2018-04-17T10:53:00Z</cp:lastPrinted>
  <dcterms:created xsi:type="dcterms:W3CDTF">2019-01-18T01:57:00Z</dcterms:created>
  <dcterms:modified xsi:type="dcterms:W3CDTF">2019-01-18T02:36:00Z</dcterms:modified>
</cp:coreProperties>
</file>